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方正大标宋简体" w:eastAsia="方正大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高校学生会组织深化改革评估备案表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ascii="方正仿宋简体" w:hAnsi="Calibri" w:eastAsia="方正仿宋简体" w:cs="Times New Roman"/>
          <w:sz w:val="28"/>
          <w:szCs w:val="28"/>
        </w:rPr>
      </w:pPr>
      <w:r>
        <w:rPr>
          <w:rFonts w:hint="eastAsia" w:ascii="方正仿宋简体" w:hAnsi="Calibri" w:eastAsia="方正仿宋简体" w:cs="Times New Roman"/>
          <w:sz w:val="28"/>
          <w:szCs w:val="28"/>
        </w:rPr>
        <w:t>组织名称：</w:t>
      </w:r>
      <w:r>
        <w:rPr>
          <w:rFonts w:hint="eastAsia" w:ascii="方正仿宋简体" w:hAnsi="Calibri" w:eastAsia="方正仿宋简体" w:cs="Times New Roman"/>
          <w:sz w:val="28"/>
          <w:szCs w:val="28"/>
          <w:u w:val="single"/>
        </w:rPr>
        <w:t xml:space="preserve">杨凌职业技术学院 </w:t>
      </w:r>
      <w:r>
        <w:rPr>
          <w:rFonts w:hint="eastAsia" w:ascii="方正仿宋简体" w:hAnsi="Calibri" w:eastAsia="方正仿宋简体" w:cs="Times New Roman"/>
          <w:sz w:val="28"/>
          <w:szCs w:val="28"/>
        </w:rPr>
        <w:sym w:font="Wingdings 2" w:char="0052"/>
      </w:r>
      <w:r>
        <w:rPr>
          <w:rFonts w:hint="eastAsia" w:ascii="方正仿宋简体" w:hAnsi="Calibri" w:eastAsia="方正仿宋简体" w:cs="Times New Roman"/>
          <w:sz w:val="28"/>
          <w:szCs w:val="28"/>
        </w:rPr>
        <w:t>学生会/□研究生会</w:t>
      </w:r>
    </w:p>
    <w:tbl>
      <w:tblPr>
        <w:tblStyle w:val="3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8181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3. 机构和人员规模</w:t>
            </w:r>
          </w:p>
        </w:tc>
        <w:tc>
          <w:tcPr>
            <w:tcW w:w="8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校级学生会组织工作人员不超过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人，学生人数较多、分校区较多的高校不超过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  <w:szCs w:val="24"/>
              </w:rPr>
              <w:t>实有</w:t>
            </w:r>
            <w:r>
              <w:rPr>
                <w:rFonts w:hint="eastAsia" w:ascii="方正仿宋简体" w:hAnsi="Calibri" w:eastAsia="方正仿宋简体" w:cs="Times New Roman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方正仿宋简体" w:hAnsi="Calibri" w:eastAsia="方正仿宋简体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校级学生会组织主席团成员不超过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  <w:szCs w:val="24"/>
              </w:rPr>
              <w:t>实有5人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校级学生会组织工作部门不超过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个。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  <w:szCs w:val="24"/>
              </w:rPr>
              <w:t>实有6个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4. 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5. 学生会组织工作人员为共产党员或共青团员。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6. 学生会组织工作人员中除一年级新生外的本专科生最近1个学期/最近1学年/入学以来三者取其一，学习成绩综合排名在本专业前30%以内，且无课业不及格情况；研究生无课业不及格情况。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 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8. 主席团由学生代表大会（非其委员会、常务委员会、常任代表会议等）选举产生。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9. 2019年10月以来召开了校级学生（研究生）代表大会。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  <w:szCs w:val="24"/>
              </w:rPr>
              <w:t>召开日期为：2019年12月17日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10. 校级学生（研究生）代表大会代表经班级团支部推荐、学院（系）组织选举产生。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11. 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12. 组建以学生代表为主，校党委学生工作部门、校团委等共同参与的校级学生会组织工作人员评议会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主席团成员和工作部门负责人每学期向评议会述职。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</w:rPr>
              <w:t>13. 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</w:rPr>
              <w:t>14. 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15. 明确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达标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/>
    <w:sectPr>
      <w:pgSz w:w="16838" w:h="11906" w:orient="landscape"/>
      <w:pgMar w:top="1587" w:right="2098" w:bottom="1474" w:left="1984" w:header="851" w:footer="1417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16590"/>
    <w:rsid w:val="36D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2020-11-13T08:47:00Z</dcterms:created>
  <dc:creator>佑</dc:creator>
  <cp:lastModifiedBy>佑</cp:lastModifiedBy>
  <dcterms:modified xsi:type="dcterms:W3CDTF">2020-11-13T08:48:14Z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